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Estas Normas determinam os requisitos básicos para a proteção da vida e da propriedade nas dependências do Laboratório de Protótipos e Desenvolvimento de Novas Tecnologias – LPDNT, onde são manuseados produtos químicos e equipamentos. </w:t>
      </w:r>
    </w:p>
    <w:p w:rsidR="00000000" w:rsidDel="00000000" w:rsidP="00000000" w:rsidRDefault="00000000" w:rsidRPr="00000000" w14:paraId="00000002">
      <w:pPr>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Elas se aplicam a todas as pessoas (docentes, funcionários, alunos de graduação, pós-graduação, bolsistas de iniciação científica e pesquisadores) que utilizam o Laboratório e também àquelas que não estejam ligadas ao mesmo, mas que tenham acesso ou permanência autorizadas em suas dependências.   </w:t>
      </w:r>
    </w:p>
    <w:p w:rsidR="00000000" w:rsidDel="00000000" w:rsidP="00000000" w:rsidRDefault="00000000" w:rsidRPr="00000000" w14:paraId="00000003">
      <w:pPr>
        <w:pStyle w:val="Heading1"/>
        <w:numPr>
          <w:ilvl w:val="0"/>
          <w:numId w:val="9"/>
        </w:numPr>
        <w:ind w:left="360" w:hanging="36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Objetivo</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76" w:lineRule="auto"/>
        <w:ind w:left="270" w:right="0" w:hanging="2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Estabelecer as normas de Boas Práticas de uso, acesso e manutenção do </w:t>
      </w:r>
      <w:r w:rsidDel="00000000" w:rsidR="00000000" w:rsidRPr="00000000">
        <w:rPr>
          <w:rFonts w:ascii="Arial" w:cs="Arial" w:eastAsia="Arial" w:hAnsi="Arial"/>
          <w:sz w:val="24"/>
          <w:szCs w:val="24"/>
          <w:rtl w:val="0"/>
        </w:rPr>
        <w:t xml:space="preserve">LPDNT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dos equipamentos nele alocados.</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70" w:right="0" w:hanging="2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Proporcionar aos usuários o conhecimento necessário para que realizem suas atividades de forma correta e plena, assegurando o bom funcionamento do laboratório, com qualidade e segurança.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270" w:right="0" w:hanging="27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Garantir, mediante uma padronização, os resultados esperados por cada tarefa executada e de forma segura.</w:t>
      </w:r>
      <w:r w:rsidDel="00000000" w:rsidR="00000000" w:rsidRPr="00000000">
        <w:rPr>
          <w:rtl w:val="0"/>
        </w:rPr>
      </w:r>
    </w:p>
    <w:p w:rsidR="00000000" w:rsidDel="00000000" w:rsidP="00000000" w:rsidRDefault="00000000" w:rsidRPr="00000000" w14:paraId="00000007">
      <w:pPr>
        <w:pStyle w:val="Heading1"/>
        <w:numPr>
          <w:ilvl w:val="0"/>
          <w:numId w:val="9"/>
        </w:numPr>
        <w:spacing w:after="240" w:lineRule="auto"/>
        <w:ind w:left="360" w:hanging="36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Procedimentos</w:t>
      </w:r>
    </w:p>
    <w:p w:rsidR="00000000" w:rsidDel="00000000" w:rsidP="00000000" w:rsidRDefault="00000000" w:rsidRPr="00000000" w14:paraId="00000008">
      <w:pPr>
        <w:pStyle w:val="Heading2"/>
        <w:numPr>
          <w:ilvl w:val="1"/>
          <w:numId w:val="9"/>
        </w:numPr>
        <w:ind w:left="630" w:hanging="432"/>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Acesso e Permanência</w:t>
      </w:r>
    </w:p>
    <w:p w:rsidR="00000000" w:rsidDel="00000000" w:rsidP="00000000" w:rsidRDefault="00000000" w:rsidRPr="00000000" w14:paraId="0000000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4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Acesso ao </w:t>
      </w:r>
      <w:r w:rsidDel="00000000" w:rsidR="00000000" w:rsidRPr="00000000">
        <w:rPr>
          <w:rFonts w:ascii="Arial" w:cs="Arial" w:eastAsia="Arial" w:hAnsi="Arial"/>
          <w:sz w:val="24"/>
          <w:szCs w:val="24"/>
          <w:rtl w:val="0"/>
        </w:rPr>
        <w:t xml:space="preserve">LPDNT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para fins de trabalho, é liberado para pessoas autorizadas no horário compreendido entre 6 e 23 horas, de segunda a sexta-feira, desde que o usuário conheça e obedeça as Regras Gerais de Utilização contidas neste documento.</w:t>
      </w:r>
    </w:p>
    <w:p w:rsidR="00000000" w:rsidDel="00000000" w:rsidP="00000000" w:rsidRDefault="00000000" w:rsidRPr="00000000" w14:paraId="0000000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proibido trabalhar sozinho no </w:t>
      </w:r>
      <w:r w:rsidDel="00000000" w:rsidR="00000000" w:rsidRPr="00000000">
        <w:rPr>
          <w:rFonts w:ascii="Arial" w:cs="Arial" w:eastAsia="Arial" w:hAnsi="Arial"/>
          <w:sz w:val="24"/>
          <w:szCs w:val="24"/>
          <w:rtl w:val="0"/>
        </w:rPr>
        <w:t xml:space="preserve">LPDNT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fora do horário administrativo e em finais de semana e feriados. Para liberar o acesso fora desses horários, deverá ser feita uma solicitação junto ao Coordenador do Laboratório.</w:t>
      </w:r>
    </w:p>
    <w:p w:rsidR="00000000" w:rsidDel="00000000" w:rsidP="00000000" w:rsidRDefault="00000000" w:rsidRPr="00000000" w14:paraId="0000000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proibido o acesso e permanência de funcionários que não estejam alocados no </w:t>
      </w:r>
      <w:r w:rsidDel="00000000" w:rsidR="00000000" w:rsidRPr="00000000">
        <w:rPr>
          <w:rFonts w:ascii="Arial" w:cs="Arial" w:eastAsia="Arial" w:hAnsi="Arial"/>
          <w:sz w:val="24"/>
          <w:szCs w:val="24"/>
          <w:rtl w:val="0"/>
        </w:rPr>
        <w:t xml:space="preserve">LPDNT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 acesso pode ser permitido somente por necessidade expressa de serviço. Os visitantes somente poderão ter acesso e permanência nas dependências do </w:t>
      </w:r>
      <w:r w:rsidDel="00000000" w:rsidR="00000000" w:rsidRPr="00000000">
        <w:rPr>
          <w:rFonts w:ascii="Arial" w:cs="Arial" w:eastAsia="Arial" w:hAnsi="Arial"/>
          <w:sz w:val="24"/>
          <w:szCs w:val="24"/>
          <w:rtl w:val="0"/>
        </w:rPr>
        <w:t xml:space="preserve">LPDNT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após autorização expressa do Coordenador do Laboratório.  </w:t>
      </w:r>
    </w:p>
    <w:p w:rsidR="00000000" w:rsidDel="00000000" w:rsidP="00000000" w:rsidRDefault="00000000" w:rsidRPr="00000000" w14:paraId="0000000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proibido o acesso e permanência de pessoas estranhas ao serviço nas salas do </w:t>
      </w:r>
      <w:r w:rsidDel="00000000" w:rsidR="00000000" w:rsidRPr="00000000">
        <w:rPr>
          <w:rFonts w:ascii="Arial" w:cs="Arial" w:eastAsia="Arial" w:hAnsi="Arial"/>
          <w:sz w:val="24"/>
          <w:szCs w:val="24"/>
          <w:rtl w:val="0"/>
        </w:rPr>
        <w:t xml:space="preserve">LPDNT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Técnico de Segurança da UFOP, no exercício de suas funções tem acesso livre a todas as dependências do Laboratório.</w:t>
      </w:r>
    </w:p>
    <w:p w:rsidR="00000000" w:rsidDel="00000000" w:rsidP="00000000" w:rsidRDefault="00000000" w:rsidRPr="00000000" w14:paraId="0000000E">
      <w:pPr>
        <w:pStyle w:val="Heading2"/>
        <w:numPr>
          <w:ilvl w:val="1"/>
          <w:numId w:val="9"/>
        </w:numPr>
        <w:spacing w:after="200" w:lineRule="auto"/>
        <w:ind w:left="629" w:hanging="431"/>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Utilização das Instalações – Conduta e Atitudes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 obrigatório o conhecimento da localização dos extintores de incêndio e das saídas de emergência por parte de todos os usuários do </w:t>
      </w:r>
      <w:r w:rsidDel="00000000" w:rsidR="00000000" w:rsidRPr="00000000">
        <w:rPr>
          <w:rFonts w:ascii="Arial" w:cs="Arial" w:eastAsia="Arial" w:hAnsi="Arial"/>
          <w:b w:val="1"/>
          <w:sz w:val="24"/>
          <w:szCs w:val="24"/>
          <w:rtl w:val="0"/>
        </w:rPr>
        <w:t xml:space="preserve">LPDNT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Segundo a Lei Federal Antifumo n°12.546/2011, é PROIBIDO FUMAR em locais fechados ou parcialmente fechados em qualquer um de seus lados por uma parede, divisória, teto ou toldo.</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 obrigatória a comunicação de qualquer acidente ao Técnico de Segurança da UFOP. Em caso de lesão corporal de qualquer natureza, encaminhar a vítima, dependendo da gravidade da lesão, ao Centro Médico do Campus Universitário ou diretamente ao Pronto Socorro do Hospital de Ouro Preto (Saramenha – Bauxita).</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Recomenda-se o uso de calça comprida e sapato fechado dentro das dependências do laboratório, sem distinção de gênero.</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expressamente proibida a ingestão de qualquer alimento ou bebida em quaisquer das salas de trabalho do </w:t>
      </w:r>
      <w:r w:rsidDel="00000000" w:rsidR="00000000" w:rsidRPr="00000000">
        <w:rPr>
          <w:rFonts w:ascii="Arial" w:cs="Arial" w:eastAsia="Arial" w:hAnsi="Arial"/>
          <w:sz w:val="24"/>
          <w:szCs w:val="24"/>
          <w:rtl w:val="0"/>
        </w:rPr>
        <w:t xml:space="preserve">LPDNT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Existe uma pequena cozinha nas dependências do </w:t>
      </w:r>
      <w:r w:rsidDel="00000000" w:rsidR="00000000" w:rsidRPr="00000000">
        <w:rPr>
          <w:rFonts w:ascii="Arial" w:cs="Arial" w:eastAsia="Arial" w:hAnsi="Arial"/>
          <w:sz w:val="24"/>
          <w:szCs w:val="24"/>
          <w:rtl w:val="0"/>
        </w:rPr>
        <w:t xml:space="preserve">LPDNT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onde é possível guardar alimentos e preparar e/ou guardar bebidas (café e chá).  </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recomendado, quando do desenvolvimento de tarefas nas salas do </w:t>
      </w:r>
      <w:r w:rsidDel="00000000" w:rsidR="00000000" w:rsidRPr="00000000">
        <w:rPr>
          <w:rFonts w:ascii="Arial" w:cs="Arial" w:eastAsia="Arial" w:hAnsi="Arial"/>
          <w:sz w:val="24"/>
          <w:szCs w:val="24"/>
          <w:rtl w:val="0"/>
        </w:rPr>
        <w:t xml:space="preserve">LPDNT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fazer uma avaliação da necessidade do porte ou uso da máscara ou óculos de proteção.</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recomendado que, quando da realização de atividades de elevado risco, os demais membros do Laboratório e os vizinhos sejam notificados.</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obrigatória a rotulagem de recipientes contendo produtos químicos, que deverá conter a classificação de riscos dos produtos químicos, de acordo com a norma específica.</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obrigatória a comunicação de situações anormais, quer de mau funcionamento de equipamentos, vazamento de produtos, falha de iluminação, ventilação ou qualquer condição insegura, ao coordenador do Laboratório para imediata avaliação dos riscos, comunicação por escrito ao Chefe do Departamento e ao Técnico de Segurança da UFOP.  </w:t>
        <w:tab/>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obrigatória a sinalização de superfícies e objetos quentes ou cortantes nas salas do </w:t>
      </w:r>
      <w:r w:rsidDel="00000000" w:rsidR="00000000" w:rsidRPr="00000000">
        <w:rPr>
          <w:rFonts w:ascii="Arial" w:cs="Arial" w:eastAsia="Arial" w:hAnsi="Arial"/>
          <w:sz w:val="24"/>
          <w:szCs w:val="24"/>
          <w:rtl w:val="0"/>
        </w:rPr>
        <w:t xml:space="preserve">LPDNT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 ser sempre levado em conta que um Laboratório é um ambiente de estudo e que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 SILÊNCIO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deve ser primordial, para que todos os usuários possam realizar suas atividades em um ambiente tranquilo e favorável à sua concentração. Portanto, é proibido o uso de aparelhos multimídia (música, filme, vídeos, dentre outros), exceto para fins acadêmico-científicos.</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futuro usuário deverá procurar a equipe técnica para receber o treinamento e posteriormente ter acesso ao </w:t>
      </w:r>
      <w:r w:rsidDel="00000000" w:rsidR="00000000" w:rsidRPr="00000000">
        <w:rPr>
          <w:rFonts w:ascii="Arial" w:cs="Arial" w:eastAsia="Arial" w:hAnsi="Arial"/>
          <w:sz w:val="24"/>
          <w:szCs w:val="24"/>
          <w:rtl w:val="0"/>
        </w:rPr>
        <w:t xml:space="preserve">LPDNT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usuário deve seguir as orientações dos pesquisadores, técnicos e bolsistas do laboratório para que possam utilizar a estrutura do Laboratório de forma adequada.</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considerado usuário todos que utilizam as dependências do </w:t>
      </w:r>
      <w:r w:rsidDel="00000000" w:rsidR="00000000" w:rsidRPr="00000000">
        <w:rPr>
          <w:rFonts w:ascii="Arial" w:cs="Arial" w:eastAsia="Arial" w:hAnsi="Arial"/>
          <w:sz w:val="24"/>
          <w:szCs w:val="24"/>
          <w:rtl w:val="0"/>
        </w:rPr>
        <w:t xml:space="preserve">LPDNT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É de responsabilidade dos usuários:  </w:t>
      </w:r>
    </w:p>
    <w:p w:rsidR="00000000" w:rsidDel="00000000" w:rsidP="00000000" w:rsidRDefault="00000000" w:rsidRPr="00000000" w14:paraId="0000001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Deixar o Laboratório e suas instalações nas mesmas condições que encontrou ao iniciar suas atividades;</w:t>
      </w:r>
    </w:p>
    <w:p w:rsidR="00000000" w:rsidDel="00000000" w:rsidP="00000000" w:rsidRDefault="00000000" w:rsidRPr="00000000" w14:paraId="0000001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Zelar pelo bom funcionamento do Laboratório e seus equipamentos;</w:t>
      </w:r>
    </w:p>
    <w:p w:rsidR="00000000" w:rsidDel="00000000" w:rsidP="00000000" w:rsidRDefault="00000000" w:rsidRPr="00000000" w14:paraId="0000001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Conhecer e respeitar as regras das salas de equipamentos, assim como seguir as orientações fornecidas pelo responsável pelo equipamento; </w:t>
      </w:r>
    </w:p>
    <w:p w:rsidR="00000000" w:rsidDel="00000000" w:rsidP="00000000" w:rsidRDefault="00000000" w:rsidRPr="00000000" w14:paraId="0000002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Deverá fornecer, de forma precisa, todas as informações solicitadas previamente à utilização do(s) equipamento(s).</w:t>
      </w:r>
    </w:p>
    <w:p w:rsidR="00000000" w:rsidDel="00000000" w:rsidP="00000000" w:rsidRDefault="00000000" w:rsidRPr="00000000" w14:paraId="00000021">
      <w:pPr>
        <w:pStyle w:val="Heading2"/>
        <w:numPr>
          <w:ilvl w:val="1"/>
          <w:numId w:val="9"/>
        </w:numPr>
        <w:spacing w:after="200" w:lineRule="auto"/>
        <w:ind w:left="629" w:hanging="431"/>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Utilização dos Equipamentos</w:t>
      </w:r>
    </w:p>
    <w:p w:rsidR="00000000" w:rsidDel="00000000" w:rsidP="00000000" w:rsidRDefault="00000000" w:rsidRPr="00000000" w14:paraId="000000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 PROIBIDO O USO DE APARELHOS DE SOM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(especialmente aqueles providos com fones de ouvido) em quaisquer áreas do </w:t>
      </w:r>
      <w:r w:rsidDel="00000000" w:rsidR="00000000" w:rsidRPr="00000000">
        <w:rPr>
          <w:rFonts w:ascii="Arial" w:cs="Arial" w:eastAsia="Arial" w:hAnsi="Arial"/>
          <w:sz w:val="24"/>
          <w:szCs w:val="24"/>
          <w:rtl w:val="0"/>
        </w:rPr>
        <w:t xml:space="preserve">LPDNT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envolvam atividades de risco.</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Somente uma pessoa treinada por grupo de pesquisa, pesquisador ou empresa terá acesso, dependendo do equipamento. Casos de maior demanda deverão ser avaliados pelo Responsável do Laboratório, mediante solicitação do usuário.</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computadores das salas dos equipamentos só poderão ser usados para atividades relacionadas aos experimentos, ficando proibidas utilizações de outros aplicativos.</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estritamente proibida a permanência e utilização dos equipamentos por pessoas não autorizadas.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portas das salas de equipamentos deverão permanecer fechadas na ausência ou presença de pessoas responsáveis.</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Caso a demanda pelo uso dos equipamentos for muito grande, o responsável pelo Laboratório irá estipular um número de horas por usuário/grupo de pesquisa/empresa.</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Caso o usuário necessitar usar o equipamento por um longo período de tempo, o mesmo deverá avisar o responsável pelo Laboratório, para que o mesmo avise os demais usuários e bloqueie a reserva dos outros usuários.</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usuário do </w:t>
      </w:r>
      <w:r w:rsidDel="00000000" w:rsidR="00000000" w:rsidRPr="00000000">
        <w:rPr>
          <w:rFonts w:ascii="Arial" w:cs="Arial" w:eastAsia="Arial" w:hAnsi="Arial"/>
          <w:sz w:val="24"/>
          <w:szCs w:val="24"/>
          <w:rtl w:val="0"/>
        </w:rPr>
        <w:t xml:space="preserve">LPDNT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Poderá trazer seu laptop/notebook pessoal e utilizar o mesmo para fins particulares durante o andamento das análises.</w:t>
      </w:r>
    </w:p>
    <w:p w:rsidR="00000000" w:rsidDel="00000000" w:rsidP="00000000" w:rsidRDefault="00000000" w:rsidRPr="00000000" w14:paraId="000000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Não poderá instalar ou desinstalar programas nos computadores sem autorização da equipe técnica ou Responsável pelo Laboratório.</w:t>
      </w:r>
    </w:p>
    <w:p w:rsidR="00000000" w:rsidDel="00000000" w:rsidP="00000000" w:rsidRDefault="00000000" w:rsidRPr="00000000" w14:paraId="0000002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Não poderá armazenar arquivos nos computadores dos equipamentos.</w:t>
      </w:r>
    </w:p>
    <w:p w:rsidR="00000000" w:rsidDel="00000000" w:rsidP="00000000" w:rsidRDefault="00000000" w:rsidRPr="00000000" w14:paraId="0000002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Deverá assinar um termo de responsabilidade de uso dos equipamentos.</w:t>
      </w:r>
    </w:p>
    <w:p w:rsidR="00000000" w:rsidDel="00000000" w:rsidP="00000000" w:rsidRDefault="00000000" w:rsidRPr="00000000" w14:paraId="0000002E">
      <w:pPr>
        <w:pStyle w:val="Heading2"/>
        <w:numPr>
          <w:ilvl w:val="1"/>
          <w:numId w:val="9"/>
        </w:numPr>
        <w:spacing w:after="200" w:lineRule="auto"/>
        <w:ind w:left="629" w:hanging="431"/>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Empréstimo de Materiais</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estritamente proibida a retirada de quaisquer ferramentas, materiais ou equipamentos do </w:t>
      </w:r>
      <w:r w:rsidDel="00000000" w:rsidR="00000000" w:rsidRPr="00000000">
        <w:rPr>
          <w:rFonts w:ascii="Arial" w:cs="Arial" w:eastAsia="Arial" w:hAnsi="Arial"/>
          <w:sz w:val="24"/>
          <w:szCs w:val="24"/>
          <w:rtl w:val="0"/>
        </w:rPr>
        <w:t xml:space="preserve">LPDNT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salvo em casos com autorização por escrito pelo Responsável do Laboratório.</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Quando autorizado, o empréstimo será documentado através do Termo de Empréstimo preenchido pelo Responsável pelo Laboratório e assinado pelo usuário.</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Todo empréstimo deverá ser devolvido na data prevista. Caso ocorra algum atraso, o Responsável pelo Laboratório deverá ser avisado.</w:t>
      </w:r>
      <w:r w:rsidDel="00000000" w:rsidR="00000000" w:rsidRPr="00000000">
        <w:rPr>
          <w:rtl w:val="0"/>
        </w:rPr>
      </w:r>
    </w:p>
    <w:p w:rsidR="00000000" w:rsidDel="00000000" w:rsidP="00000000" w:rsidRDefault="00000000" w:rsidRPr="00000000" w14:paraId="0000003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É de responsabilidade de todo o pessoal alocado no LPDNT cumprir e fazer cumprir os itens previstos nestas Normas.</w:t>
      </w:r>
    </w:p>
    <w:p w:rsidR="00000000" w:rsidDel="00000000" w:rsidP="00000000" w:rsidRDefault="00000000" w:rsidRPr="00000000" w14:paraId="00000033">
      <w:pPr>
        <w:rPr>
          <w:rFonts w:ascii="Arial" w:cs="Arial" w:eastAsia="Arial" w:hAnsi="Arial"/>
          <w:b w:val="1"/>
          <w:sz w:val="24"/>
          <w:szCs w:val="24"/>
        </w:rPr>
      </w:pPr>
      <w:r w:rsidDel="00000000" w:rsidR="00000000" w:rsidRPr="00000000">
        <w:rPr>
          <w:rtl w:val="0"/>
        </w:rPr>
      </w:r>
    </w:p>
    <w:tbl>
      <w:tblPr>
        <w:tblStyle w:val="Table1"/>
        <w:tblW w:w="9620.0" w:type="dxa"/>
        <w:jc w:val="left"/>
        <w:tblLayout w:type="fixed"/>
        <w:tblLook w:val="0400"/>
      </w:tblPr>
      <w:tblGrid>
        <w:gridCol w:w="3555"/>
        <w:gridCol w:w="2944"/>
        <w:gridCol w:w="3121"/>
        <w:tblGridChange w:id="0">
          <w:tblGrid>
            <w:gridCol w:w="3555"/>
            <w:gridCol w:w="2944"/>
            <w:gridCol w:w="3121"/>
          </w:tblGrid>
        </w:tblGridChange>
      </w:tblGrid>
      <w:tr>
        <w:trPr>
          <w:cantSplit w:val="0"/>
          <w:trHeight w:val="288" w:hRule="atLeast"/>
          <w:tblHeader w:val="0"/>
        </w:trPr>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34">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Elaborado por:</w:t>
            </w:r>
          </w:p>
        </w:tc>
        <w:tc>
          <w:tcPr>
            <w:tcBorders>
              <w:top w:color="000000" w:space="0" w:sz="4" w:val="single"/>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35">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Revisado por:</w:t>
            </w:r>
          </w:p>
        </w:tc>
        <w:tc>
          <w:tcPr>
            <w:tcBorders>
              <w:top w:color="000000" w:space="0" w:sz="4" w:val="single"/>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36">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Aprovado por:</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7">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Diógenes Viegas Mendes Ferreira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8">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Alan Kardek Rêgo Segundo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DECAT</w:t>
            </w:r>
          </w:p>
        </w:tc>
      </w:tr>
      <w:tr>
        <w:trPr>
          <w:cantSplit w:val="0"/>
          <w:trHeight w:val="30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Data: 08/08/2016</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B">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Data: 2</w:t>
            </w:r>
            <w:r w:rsidDel="00000000" w:rsidR="00000000" w:rsidRPr="00000000">
              <w:rPr>
                <w:rFonts w:ascii="Arial" w:cs="Arial" w:eastAsia="Arial" w:hAnsi="Arial"/>
                <w:rtl w:val="0"/>
              </w:rPr>
              <w:t xml:space="preserve">0</w:t>
            </w:r>
            <w:r w:rsidDel="00000000" w:rsidR="00000000" w:rsidRPr="00000000">
              <w:rPr>
                <w:rFonts w:ascii="Arial" w:cs="Arial" w:eastAsia="Arial" w:hAnsi="Arial"/>
                <w:color w:val="000000"/>
                <w:rtl w:val="0"/>
              </w:rPr>
              <w:t xml:space="preserve">/07/20</w:t>
            </w:r>
            <w:r w:rsidDel="00000000" w:rsidR="00000000" w:rsidRPr="00000000">
              <w:rPr>
                <w:rFonts w:ascii="Arial" w:cs="Arial" w:eastAsia="Arial" w:hAnsi="Arial"/>
                <w:rtl w:val="0"/>
              </w:rPr>
              <w:t xml:space="preserve">23</w:t>
            </w:r>
            <w:r w:rsidDel="00000000" w:rsidR="00000000" w:rsidRPr="00000000">
              <w:rPr>
                <w:rFonts w:ascii="Arial" w:cs="Arial" w:eastAsia="Arial" w:hAnsi="Arial"/>
                <w:color w:val="00000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C">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Data: </w:t>
            </w:r>
          </w:p>
        </w:tc>
      </w:tr>
    </w:tbl>
    <w:p w:rsidR="00000000" w:rsidDel="00000000" w:rsidP="00000000" w:rsidRDefault="00000000" w:rsidRPr="00000000" w14:paraId="0000003D">
      <w:pPr>
        <w:rPr>
          <w:rFonts w:ascii="Arial" w:cs="Arial" w:eastAsia="Arial" w:hAnsi="Arial"/>
          <w:b w:val="1"/>
          <w:sz w:val="24"/>
          <w:szCs w:val="24"/>
        </w:rPr>
      </w:pPr>
      <w:r w:rsidDel="00000000" w:rsidR="00000000" w:rsidRPr="00000000">
        <w:rPr>
          <w:rtl w:val="0"/>
        </w:rPr>
      </w:r>
    </w:p>
    <w:sectPr>
      <w:headerReference r:id="rId7" w:type="default"/>
      <w:pgSz w:h="15840" w:w="12240" w:orient="portrait"/>
      <w:pgMar w:bottom="1440" w:top="1092" w:left="144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715.0" w:type="dxa"/>
      <w:jc w:val="left"/>
      <w:tblLayout w:type="fixed"/>
      <w:tblLook w:val="0400"/>
    </w:tblPr>
    <w:tblGrid>
      <w:gridCol w:w="985"/>
      <w:gridCol w:w="1080"/>
      <w:gridCol w:w="1800"/>
      <w:gridCol w:w="810"/>
      <w:gridCol w:w="1530"/>
      <w:gridCol w:w="990"/>
      <w:gridCol w:w="1080"/>
      <w:gridCol w:w="1440"/>
      <w:tblGridChange w:id="0">
        <w:tblGrid>
          <w:gridCol w:w="985"/>
          <w:gridCol w:w="1080"/>
          <w:gridCol w:w="1800"/>
          <w:gridCol w:w="810"/>
          <w:gridCol w:w="1530"/>
          <w:gridCol w:w="990"/>
          <w:gridCol w:w="1080"/>
          <w:gridCol w:w="1440"/>
        </w:tblGrid>
      </w:tblGridChange>
    </w:tblGrid>
    <w:tr>
      <w:trPr>
        <w:cantSplit w:val="0"/>
        <w:trHeight w:val="526" w:hRule="atLeast"/>
        <w:tblHeader w:val="0"/>
      </w:trPr>
      <w:tc>
        <w:tcPr>
          <w:vMerge w:val="restart"/>
          <w:tcBorders>
            <w:top w:color="000000" w:space="0" w:sz="4" w:val="single"/>
            <w:left w:color="000000" w:space="0" w:sz="4" w:val="single"/>
            <w:right w:color="000000" w:space="0" w:sz="0" w:val="nil"/>
          </w:tcBorders>
          <w:shd w:fill="auto" w:val="clear"/>
          <w:vAlign w:val="center"/>
        </w:tcPr>
        <w:p w:rsidR="00000000" w:rsidDel="00000000" w:rsidP="00000000" w:rsidRDefault="00000000" w:rsidRPr="00000000" w14:paraId="00000040">
          <w:pPr>
            <w:spacing w:after="0" w:line="240" w:lineRule="auto"/>
            <w:ind w:left="-180" w:firstLine="0"/>
            <w:jc w:val="right"/>
            <w:rPr>
              <w:rFonts w:ascii="Arial" w:cs="Arial" w:eastAsia="Arial" w:hAnsi="Arial"/>
              <w:sz w:val="28"/>
              <w:szCs w:val="28"/>
            </w:rPr>
          </w:pPr>
          <w:r w:rsidDel="00000000" w:rsidR="00000000" w:rsidRPr="00000000">
            <w:rPr>
              <w:rFonts w:ascii="Arial" w:cs="Arial" w:eastAsia="Arial" w:hAnsi="Arial"/>
              <w:sz w:val="28"/>
              <w:szCs w:val="28"/>
            </w:rPr>
            <w:drawing>
              <wp:inline distB="0" distT="0" distL="0" distR="0">
                <wp:extent cx="509905" cy="1066800"/>
                <wp:effectExtent b="0" l="0" r="0" t="0"/>
                <wp:docPr descr="http://www.ufop.br/logomarca/images/Logomarca/Logomarca_jpg.jpg" id="5" name="image2.jpg"/>
                <a:graphic>
                  <a:graphicData uri="http://schemas.openxmlformats.org/drawingml/2006/picture">
                    <pic:pic>
                      <pic:nvPicPr>
                        <pic:cNvPr descr="http://www.ufop.br/logomarca/images/Logomarca/Logomarca_jpg.jpg" id="0" name="image2.jpg"/>
                        <pic:cNvPicPr preferRelativeResize="0"/>
                      </pic:nvPicPr>
                      <pic:blipFill>
                        <a:blip r:embed="rId1"/>
                        <a:srcRect b="0" l="0" r="0" t="0"/>
                        <a:stretch>
                          <a:fillRect/>
                        </a:stretch>
                      </pic:blipFill>
                      <pic:spPr>
                        <a:xfrm>
                          <a:off x="0" y="0"/>
                          <a:ext cx="509905" cy="1066800"/>
                        </a:xfrm>
                        <a:prstGeom prst="rect"/>
                        <a:ln/>
                      </pic:spPr>
                    </pic:pic>
                  </a:graphicData>
                </a:graphic>
              </wp:inline>
            </w:drawing>
          </w:r>
          <w:r w:rsidDel="00000000" w:rsidR="00000000" w:rsidRPr="00000000">
            <w:rPr>
              <w:rtl w:val="0"/>
            </w:rPr>
          </w:r>
        </w:p>
      </w:tc>
      <w:tc>
        <w:tcPr>
          <w:gridSpan w:val="6"/>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41">
          <w:pPr>
            <w:spacing w:after="0" w:line="240" w:lineRule="auto"/>
            <w:ind w:left="-180" w:firstLine="0"/>
            <w:jc w:val="center"/>
            <w:rPr>
              <w:b w:val="1"/>
              <w:sz w:val="24"/>
              <w:szCs w:val="24"/>
            </w:rPr>
          </w:pPr>
          <w:r w:rsidDel="00000000" w:rsidR="00000000" w:rsidRPr="00000000">
            <w:rPr>
              <w:rFonts w:ascii="Arial" w:cs="Arial" w:eastAsia="Arial" w:hAnsi="Arial"/>
              <w:color w:val="000000"/>
              <w:sz w:val="28"/>
              <w:szCs w:val="28"/>
              <w:rtl w:val="0"/>
            </w:rPr>
            <w:t xml:space="preserve">Procedimento Operacional Padrão - POP</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47">
          <w:pPr>
            <w:spacing w:after="0" w:line="240" w:lineRule="auto"/>
            <w:ind w:left="-180" w:firstLine="0"/>
            <w:jc w:val="right"/>
            <w:rPr>
              <w:rFonts w:ascii="Times New Roman" w:cs="Times New Roman" w:eastAsia="Times New Roman" w:hAnsi="Times New Roman"/>
              <w:sz w:val="20"/>
              <w:szCs w:val="20"/>
            </w:rPr>
          </w:pPr>
          <w:r w:rsidDel="00000000" w:rsidR="00000000" w:rsidRPr="00000000">
            <w:rPr>
              <w:b w:val="1"/>
              <w:sz w:val="28"/>
              <w:szCs w:val="28"/>
            </w:rPr>
            <w:drawing>
              <wp:inline distB="0" distT="0" distL="0" distR="0">
                <wp:extent cx="819342" cy="944658"/>
                <wp:effectExtent b="0" l="0" r="0" t="0"/>
                <wp:docPr descr="C:\Users\Alan Kardek\AppData\Local\Microsoft\Windows\INetCache\Content.Word\logoEM2016.versão.eletrônica.jpg" id="6" name="image1.jpg"/>
                <a:graphic>
                  <a:graphicData uri="http://schemas.openxmlformats.org/drawingml/2006/picture">
                    <pic:pic>
                      <pic:nvPicPr>
                        <pic:cNvPr descr="C:\Users\Alan Kardek\AppData\Local\Microsoft\Windows\INetCache\Content.Word\logoEM2016.versão.eletrônica.jpg" id="0" name="image1.jpg"/>
                        <pic:cNvPicPr preferRelativeResize="0"/>
                      </pic:nvPicPr>
                      <pic:blipFill>
                        <a:blip r:embed="rId2"/>
                        <a:srcRect b="52296" l="18588" r="62334" t="16864"/>
                        <a:stretch>
                          <a:fillRect/>
                        </a:stretch>
                      </pic:blipFill>
                      <pic:spPr>
                        <a:xfrm>
                          <a:off x="0" y="0"/>
                          <a:ext cx="819342" cy="944658"/>
                        </a:xfrm>
                        <a:prstGeom prst="rect"/>
                        <a:ln/>
                      </pic:spPr>
                    </pic:pic>
                  </a:graphicData>
                </a:graphic>
              </wp:inline>
            </w:drawing>
          </w:r>
          <w:r w:rsidDel="00000000" w:rsidR="00000000" w:rsidRPr="00000000">
            <w:rPr>
              <w:rtl w:val="0"/>
            </w:rPr>
          </w:r>
        </w:p>
      </w:tc>
    </w:tr>
    <w:tr>
      <w:trPr>
        <w:cantSplit w:val="0"/>
        <w:trHeight w:val="535" w:hRule="atLeast"/>
        <w:tblHeader w:val="0"/>
      </w:trPr>
      <w:tc>
        <w:tcPr>
          <w:vMerge w:val="continue"/>
          <w:tcBorders>
            <w:top w:color="000000" w:space="0" w:sz="4" w:val="single"/>
            <w:left w:color="000000" w:space="0" w:sz="4" w:val="single"/>
            <w:right w:color="000000" w:space="0" w:sz="0" w:val="nil"/>
          </w:tcBorders>
          <w:shd w:fill="auto" w:val="cle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6"/>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49">
          <w:pPr>
            <w:spacing w:after="0" w:line="240" w:lineRule="auto"/>
            <w:ind w:left="-180" w:firstLine="0"/>
            <w:jc w:val="center"/>
            <w:rPr>
              <w:rFonts w:ascii="Times New Roman" w:cs="Times New Roman" w:eastAsia="Times New Roman" w:hAnsi="Times New Roman"/>
              <w:sz w:val="20"/>
              <w:szCs w:val="20"/>
            </w:rPr>
          </w:pPr>
          <w:r w:rsidDel="00000000" w:rsidR="00000000" w:rsidRPr="00000000">
            <w:rPr>
              <w:rFonts w:ascii="Arial" w:cs="Arial" w:eastAsia="Arial" w:hAnsi="Arial"/>
              <w:color w:val="000000"/>
              <w:sz w:val="28"/>
              <w:szCs w:val="28"/>
              <w:rtl w:val="0"/>
            </w:rPr>
            <w:t xml:space="preserve">Regras Gerais de Utilização</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436" w:hRule="atLeast"/>
        <w:tblHeader w:val="0"/>
      </w:trPr>
      <w:tc>
        <w:tcPr>
          <w:vMerge w:val="continue"/>
          <w:tcBorders>
            <w:top w:color="000000" w:space="0" w:sz="4" w:val="single"/>
            <w:left w:color="000000" w:space="0" w:sz="4" w:val="single"/>
            <w:right w:color="000000" w:space="0" w:sz="0" w:val="nil"/>
          </w:tcBorders>
          <w:shd w:fill="auto" w:val="cle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spacing w:after="0" w:line="240" w:lineRule="auto"/>
            <w:ind w:left="-180" w:firstLine="0"/>
            <w:jc w:val="center"/>
            <w:rPr>
              <w:rFonts w:ascii="Calibri" w:cs="Calibri" w:eastAsia="Calibri" w:hAnsi="Calibri"/>
              <w:color w:val="000000"/>
            </w:rPr>
          </w:pPr>
          <w:r w:rsidDel="00000000" w:rsidR="00000000" w:rsidRPr="00000000">
            <w:rPr>
              <w:rFonts w:ascii="Arial" w:cs="Arial" w:eastAsia="Arial" w:hAnsi="Arial"/>
              <w:color w:val="000000"/>
              <w:sz w:val="28"/>
              <w:szCs w:val="28"/>
              <w:rtl w:val="0"/>
            </w:rPr>
            <w:t xml:space="preserve">Laboratório de Controle e Automação Multiusuário</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427" w:hRule="atLeast"/>
        <w:tblHeader w:val="0"/>
      </w:trPr>
      <w:tc>
        <w:tcPr>
          <w:vMerge w:val="continue"/>
          <w:tcBorders>
            <w:top w:color="000000" w:space="0" w:sz="4" w:val="single"/>
            <w:left w:color="000000" w:space="0" w:sz="4" w:val="single"/>
            <w:right w:color="000000" w:space="0" w:sz="0" w:val="nil"/>
          </w:tcBorders>
          <w:shd w:fill="auto" w:val="cle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spacing w:after="0" w:line="240" w:lineRule="auto"/>
            <w:ind w:left="-180" w:right="-193"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Código: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spacing w:after="0" w:line="240" w:lineRule="auto"/>
            <w:ind w:left="-180" w:right="-204"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POP- RG-001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B">
          <w:pPr>
            <w:spacing w:after="0" w:line="240" w:lineRule="auto"/>
            <w:ind w:left="-180" w:right="-204"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10/07/2017</w:t>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14:paraId="0000005D">
          <w:pPr>
            <w:spacing w:after="0" w:line="240" w:lineRule="auto"/>
            <w:ind w:left="-180" w:right="-110"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Página</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spacing w:after="0" w:line="240" w:lineRule="auto"/>
            <w:ind w:left="-180"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Pr>
            <w:fldChar w:fldCharType="begin"/>
            <w:instrText xml:space="preserve">PAGE</w:instrText>
            <w:fldChar w:fldCharType="separate"/>
            <w:fldChar w:fldCharType="end"/>
          </w:r>
          <w:r w:rsidDel="00000000" w:rsidR="00000000" w:rsidRPr="00000000">
            <w:rPr>
              <w:rFonts w:ascii="Arial" w:cs="Arial" w:eastAsia="Arial" w:hAnsi="Arial"/>
              <w:color w:val="000000"/>
              <w:sz w:val="24"/>
              <w:szCs w:val="24"/>
              <w:rtl w:val="0"/>
            </w:rPr>
            <w:t xml:space="preserve"> de </w:t>
          </w:r>
          <w:r w:rsidDel="00000000" w:rsidR="00000000" w:rsidRPr="00000000">
            <w:rPr/>
            <w:fldChar w:fldCharType="begin"/>
            <w:instrText xml:space="preserve">NUMPAGES</w:instrText>
            <w:fldChar w:fldCharType="separate"/>
            <w:fldChar w:fldCharType="end"/>
          </w: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Calibri" w:cs="Calibri" w:eastAsia="Calibri" w:hAnsi="Calibri"/>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0"/>
      <w:numFmt w:val="bullet"/>
      <w:lvlText w:val="•"/>
      <w:lvlJc w:val="left"/>
      <w:pPr>
        <w:ind w:left="2160" w:hanging="360"/>
      </w:pPr>
      <w:rPr>
        <w:rFonts w:ascii="Calibri" w:cs="Calibri" w:eastAsia="Calibri" w:hAnsi="Calibri"/>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4B1C"/>
  </w:style>
  <w:style w:type="paragraph" w:styleId="Ttulo1">
    <w:name w:val="heading 1"/>
    <w:basedOn w:val="Normal"/>
    <w:next w:val="Normal"/>
    <w:link w:val="Ttulo1Char"/>
    <w:uiPriority w:val="9"/>
    <w:qFormat w:val="1"/>
    <w:rsid w:val="002F445E"/>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Ttulo2">
    <w:name w:val="heading 2"/>
    <w:basedOn w:val="Normal"/>
    <w:next w:val="Normal"/>
    <w:link w:val="Ttulo2Char"/>
    <w:uiPriority w:val="9"/>
    <w:unhideWhenUsed w:val="1"/>
    <w:qFormat w:val="1"/>
    <w:rsid w:val="00824AAC"/>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Ttulo3">
    <w:name w:val="heading 3"/>
    <w:basedOn w:val="Normal"/>
    <w:next w:val="Normal"/>
    <w:link w:val="Ttulo3Char"/>
    <w:uiPriority w:val="9"/>
    <w:unhideWhenUsed w:val="1"/>
    <w:qFormat w:val="1"/>
    <w:rsid w:val="00824AAC"/>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rsid w:val="002F445E"/>
    <w:rPr>
      <w:rFonts w:asciiTheme="majorHAnsi" w:cstheme="majorBidi" w:eastAsiaTheme="majorEastAsia" w:hAnsiTheme="majorHAnsi"/>
      <w:color w:val="2e74b5" w:themeColor="accent1" w:themeShade="0000BF"/>
      <w:sz w:val="32"/>
      <w:szCs w:val="32"/>
    </w:rPr>
  </w:style>
  <w:style w:type="paragraph" w:styleId="PargrafodaLista">
    <w:name w:val="List Paragraph"/>
    <w:basedOn w:val="Normal"/>
    <w:uiPriority w:val="34"/>
    <w:qFormat w:val="1"/>
    <w:rsid w:val="00824AAC"/>
    <w:pPr>
      <w:ind w:left="720"/>
      <w:contextualSpacing w:val="1"/>
    </w:pPr>
  </w:style>
  <w:style w:type="character" w:styleId="Ttulo2Char" w:customStyle="1">
    <w:name w:val="Título 2 Char"/>
    <w:basedOn w:val="Fontepargpadro"/>
    <w:link w:val="Ttulo2"/>
    <w:uiPriority w:val="9"/>
    <w:rsid w:val="00824AAC"/>
    <w:rPr>
      <w:rFonts w:asciiTheme="majorHAnsi" w:cstheme="majorBidi" w:eastAsiaTheme="majorEastAsia" w:hAnsiTheme="majorHAnsi"/>
      <w:color w:val="2e74b5" w:themeColor="accent1" w:themeShade="0000BF"/>
      <w:sz w:val="26"/>
      <w:szCs w:val="26"/>
    </w:rPr>
  </w:style>
  <w:style w:type="character" w:styleId="Ttulo3Char" w:customStyle="1">
    <w:name w:val="Título 3 Char"/>
    <w:basedOn w:val="Fontepargpadro"/>
    <w:link w:val="Ttulo3"/>
    <w:uiPriority w:val="9"/>
    <w:rsid w:val="00824AAC"/>
    <w:rPr>
      <w:rFonts w:asciiTheme="majorHAnsi" w:cstheme="majorBidi" w:eastAsiaTheme="majorEastAsia" w:hAnsiTheme="majorHAnsi"/>
      <w:color w:val="1f4d78" w:themeColor="accent1" w:themeShade="00007F"/>
      <w:sz w:val="24"/>
      <w:szCs w:val="24"/>
    </w:rPr>
  </w:style>
  <w:style w:type="paragraph" w:styleId="Cabealho">
    <w:name w:val="header"/>
    <w:basedOn w:val="Normal"/>
    <w:link w:val="CabealhoChar"/>
    <w:uiPriority w:val="99"/>
    <w:unhideWhenUsed w:val="1"/>
    <w:rsid w:val="00C12258"/>
    <w:pPr>
      <w:tabs>
        <w:tab w:val="center" w:pos="4680"/>
        <w:tab w:val="right" w:pos="9360"/>
      </w:tabs>
      <w:spacing w:after="0" w:line="240" w:lineRule="auto"/>
    </w:pPr>
  </w:style>
  <w:style w:type="character" w:styleId="CabealhoChar" w:customStyle="1">
    <w:name w:val="Cabeçalho Char"/>
    <w:basedOn w:val="Fontepargpadro"/>
    <w:link w:val="Cabealho"/>
    <w:uiPriority w:val="99"/>
    <w:rsid w:val="00C12258"/>
  </w:style>
  <w:style w:type="paragraph" w:styleId="Rodap">
    <w:name w:val="footer"/>
    <w:basedOn w:val="Normal"/>
    <w:link w:val="RodapChar"/>
    <w:uiPriority w:val="99"/>
    <w:unhideWhenUsed w:val="1"/>
    <w:rsid w:val="00C12258"/>
    <w:pPr>
      <w:tabs>
        <w:tab w:val="center" w:pos="4680"/>
        <w:tab w:val="right" w:pos="9360"/>
      </w:tabs>
      <w:spacing w:after="0" w:line="240" w:lineRule="auto"/>
    </w:pPr>
  </w:style>
  <w:style w:type="character" w:styleId="RodapChar" w:customStyle="1">
    <w:name w:val="Rodapé Char"/>
    <w:basedOn w:val="Fontepargpadro"/>
    <w:link w:val="Rodap"/>
    <w:uiPriority w:val="99"/>
    <w:rsid w:val="00C12258"/>
  </w:style>
  <w:style w:type="paragraph" w:styleId="Textodebalo">
    <w:name w:val="Balloon Text"/>
    <w:basedOn w:val="Normal"/>
    <w:link w:val="TextodebaloChar"/>
    <w:uiPriority w:val="99"/>
    <w:semiHidden w:val="1"/>
    <w:unhideWhenUsed w:val="1"/>
    <w:rsid w:val="00C43966"/>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C43966"/>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PFh1jpYbSK48m4m+uqeOSiUzdA==">CgMxLjA4AHIhMW1hejhuaDdCeExBdHEySnFTZ19BckpHUV94NFd3by14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2022-04-27T13:17:00Z</dcterms:created>
  <dc:creator>Diogenes Viegas</dc:creator>
</cp:coreProperties>
</file>